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  <w:proofErr w:type="gramEnd"/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氫與原子能</w:t>
            </w:r>
            <w:proofErr w:type="gramEnd"/>
            <w:r w:rsidRPr="002E3F7E">
              <w:rPr>
                <w:rFonts w:asciiTheme="minorEastAsia" w:hAnsiTheme="minorEastAsia" w:cs="Arial" w:hint="eastAsia"/>
                <w:sz w:val="22"/>
              </w:rPr>
              <w:t>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36F0F24B" w:rsidR="00432E01" w:rsidRPr="00247A1D" w:rsidRDefault="00247A1D" w:rsidP="00247A1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01739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0C77CF2F" w:rsidR="00247A1D" w:rsidRPr="004D0083" w:rsidRDefault="00247A1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57D677F3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3</w:t>
            </w:r>
            <w:proofErr w:type="gramStart"/>
            <w:r>
              <w:rPr>
                <w:rFonts w:ascii="Arial" w:hAnsi="Arial" w:cs="Arial" w:hint="eastAsia"/>
                <w:szCs w:val="24"/>
              </w:rPr>
              <w:t>日本真夏設計</w:t>
            </w:r>
            <w:proofErr w:type="gramEnd"/>
            <w:r>
              <w:rPr>
                <w:rFonts w:ascii="Arial" w:hAnsi="Arial" w:cs="Arial" w:hint="eastAsia"/>
                <w:szCs w:val="24"/>
              </w:rPr>
              <w:t>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展位費</w:t>
            </w:r>
            <w:proofErr w:type="gramEnd"/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33A7" w14:textId="77777777" w:rsidR="00521FD6" w:rsidRDefault="00521FD6" w:rsidP="00B73F18">
      <w:r>
        <w:separator/>
      </w:r>
    </w:p>
  </w:endnote>
  <w:endnote w:type="continuationSeparator" w:id="0">
    <w:p w14:paraId="787F7DD8" w14:textId="77777777" w:rsidR="00521FD6" w:rsidRDefault="00521FD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DFC9" w14:textId="77777777" w:rsidR="00521FD6" w:rsidRDefault="00521FD6" w:rsidP="00B73F18">
      <w:r>
        <w:separator/>
      </w:r>
    </w:p>
  </w:footnote>
  <w:footnote w:type="continuationSeparator" w:id="0">
    <w:p w14:paraId="646C8366" w14:textId="77777777" w:rsidR="00521FD6" w:rsidRDefault="00521FD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0C98524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017398">
      <w:rPr>
        <w:rFonts w:ascii="Arial" w:hAnsi="Arial" w:cs="Arial" w:hint="eastAsia"/>
        <w:b/>
        <w:bCs/>
        <w:sz w:val="44"/>
        <w:szCs w:val="44"/>
      </w:rPr>
      <w:t>3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17398"/>
    <w:rsid w:val="00030716"/>
    <w:rsid w:val="000727B2"/>
    <w:rsid w:val="00142DF8"/>
    <w:rsid w:val="00157F97"/>
    <w:rsid w:val="00237C04"/>
    <w:rsid w:val="00247A1D"/>
    <w:rsid w:val="002C1174"/>
    <w:rsid w:val="002C5225"/>
    <w:rsid w:val="002E3F7E"/>
    <w:rsid w:val="00321B3D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21FD6"/>
    <w:rsid w:val="005564A4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BF3"/>
    <w:rsid w:val="000B254C"/>
    <w:rsid w:val="000B348F"/>
    <w:rsid w:val="00163F73"/>
    <w:rsid w:val="002B7499"/>
    <w:rsid w:val="00365214"/>
    <w:rsid w:val="003E6090"/>
    <w:rsid w:val="004A47E1"/>
    <w:rsid w:val="005C04BD"/>
    <w:rsid w:val="009D3E87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2022-10-04T04:59:00Z</dcterms:created>
  <dcterms:modified xsi:type="dcterms:W3CDTF">2022-10-04T04:59:00Z</dcterms:modified>
</cp:coreProperties>
</file>