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616B8B">
        <w:rPr>
          <w:rFonts w:ascii="標楷體" w:eastAsia="標楷體" w:hAnsi="標楷體" w:hint="eastAsia"/>
          <w:b/>
          <w:spacing w:val="20"/>
          <w:sz w:val="36"/>
          <w:szCs w:val="36"/>
        </w:rPr>
        <w:t>1</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83245C">
        <w:rPr>
          <w:rFonts w:ascii="標楷體" w:eastAsia="標楷體" w:hAnsi="標楷體" w:hint="eastAsia"/>
          <w:b/>
          <w:spacing w:val="20"/>
          <w:sz w:val="36"/>
          <w:szCs w:val="36"/>
        </w:rPr>
        <w:t>1</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616B8B">
        <w:rPr>
          <w:rFonts w:ascii="標楷體" w:eastAsia="標楷體" w:hAnsi="標楷體" w:hint="eastAsia"/>
          <w:b/>
          <w:spacing w:val="20"/>
          <w:sz w:val="22"/>
          <w:szCs w:val="22"/>
          <w:u w:val="single"/>
        </w:rPr>
        <w:t>1</w:t>
      </w:r>
      <w:r w:rsidRPr="00E42D44">
        <w:rPr>
          <w:rFonts w:ascii="標楷體" w:eastAsia="標楷體" w:hAnsi="標楷體" w:hint="eastAsia"/>
          <w:b/>
          <w:spacing w:val="20"/>
          <w:sz w:val="22"/>
          <w:szCs w:val="22"/>
          <w:u w:val="single"/>
        </w:rPr>
        <w:t>年</w:t>
      </w:r>
      <w:r w:rsidR="00616B8B">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月</w:t>
      </w:r>
      <w:r w:rsidR="003344BD">
        <w:rPr>
          <w:rFonts w:ascii="標楷體" w:eastAsia="標楷體" w:hAnsi="標楷體" w:hint="eastAsia"/>
          <w:b/>
          <w:spacing w:val="20"/>
          <w:sz w:val="22"/>
          <w:szCs w:val="22"/>
          <w:u w:val="single"/>
        </w:rPr>
        <w:t>1</w:t>
      </w:r>
      <w:r w:rsidR="00616B8B">
        <w:rPr>
          <w:rFonts w:ascii="標楷體" w:eastAsia="標楷體" w:hAnsi="標楷體" w:hint="eastAsia"/>
          <w:b/>
          <w:spacing w:val="20"/>
          <w:sz w:val="22"/>
          <w:szCs w:val="22"/>
          <w:u w:val="single"/>
        </w:rPr>
        <w:t>8</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616B8B">
        <w:rPr>
          <w:rFonts w:ascii="標楷體" w:eastAsia="標楷體" w:hAnsi="標楷體" w:hint="eastAsia"/>
          <w:b/>
          <w:spacing w:val="20"/>
          <w:sz w:val="22"/>
          <w:szCs w:val="22"/>
          <w:u w:val="single"/>
        </w:rPr>
        <w:t>一</w:t>
      </w:r>
      <w:bookmarkStart w:id="0" w:name="_GoBack"/>
      <w:bookmarkEnd w:id="0"/>
      <w:r w:rsidRPr="00E42D44">
        <w:rPr>
          <w:rFonts w:ascii="標楷體" w:eastAsia="標楷體" w:hAnsi="標楷體"/>
          <w:b/>
          <w:spacing w:val="20"/>
          <w:sz w:val="22"/>
          <w:szCs w:val="22"/>
          <w:u w:val="single"/>
        </w:rPr>
        <w:t>)</w:t>
      </w:r>
      <w:r w:rsidR="00207CF6">
        <w:rPr>
          <w:rFonts w:ascii="標楷體" w:eastAsia="標楷體" w:hAnsi="標楷體" w:hint="eastAsia"/>
          <w:b/>
          <w:spacing w:val="20"/>
          <w:sz w:val="22"/>
          <w:szCs w:val="22"/>
          <w:u w:val="single"/>
        </w:rPr>
        <w:t>中午12時前傳真(04)25687973或E-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27" w:rsidRDefault="00EC2D27" w:rsidP="00252892">
      <w:r>
        <w:separator/>
      </w:r>
    </w:p>
  </w:endnote>
  <w:endnote w:type="continuationSeparator" w:id="0">
    <w:p w:rsidR="00EC2D27" w:rsidRDefault="00EC2D27"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27" w:rsidRDefault="00EC2D27" w:rsidP="00252892">
      <w:r>
        <w:separator/>
      </w:r>
    </w:p>
  </w:footnote>
  <w:footnote w:type="continuationSeparator" w:id="0">
    <w:p w:rsidR="00EC2D27" w:rsidRDefault="00EC2D27"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7CF6"/>
    <w:rsid w:val="0021191B"/>
    <w:rsid w:val="0022450C"/>
    <w:rsid w:val="0023661F"/>
    <w:rsid w:val="00247298"/>
    <w:rsid w:val="00252892"/>
    <w:rsid w:val="002B3D20"/>
    <w:rsid w:val="002D38F1"/>
    <w:rsid w:val="003344BD"/>
    <w:rsid w:val="00335EFD"/>
    <w:rsid w:val="003653AF"/>
    <w:rsid w:val="00370654"/>
    <w:rsid w:val="003C73B6"/>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E34CDE"/>
    <w:rsid w:val="00E42D44"/>
    <w:rsid w:val="00E53B68"/>
    <w:rsid w:val="00E756DD"/>
    <w:rsid w:val="00EC2D27"/>
    <w:rsid w:val="00EC6C1B"/>
    <w:rsid w:val="00EF43A6"/>
    <w:rsid w:val="00F456CE"/>
    <w:rsid w:val="00F57A9E"/>
    <w:rsid w:val="00FB11C7"/>
    <w:rsid w:val="00FC2985"/>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8601F"/>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231</Words>
  <Characters>1322</Characters>
  <Application>Microsoft Office Word</Application>
  <DocSecurity>0</DocSecurity>
  <Lines>11</Lines>
  <Paragraphs>3</Paragraphs>
  <ScaleCrop>false</ScaleCrop>
  <Company>大學入學考試中心</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15</cp:revision>
  <cp:lastPrinted>2012-03-03T06:43:00Z</cp:lastPrinted>
  <dcterms:created xsi:type="dcterms:W3CDTF">2016-04-03T14:16:00Z</dcterms:created>
  <dcterms:modified xsi:type="dcterms:W3CDTF">2022-03-24T06:28:00Z</dcterms:modified>
</cp:coreProperties>
</file>